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43F0" w14:textId="77777777" w:rsidR="005B6202" w:rsidRPr="00562C68" w:rsidRDefault="005B6202">
      <w:pPr>
        <w:pStyle w:val="Body"/>
      </w:pPr>
    </w:p>
    <w:p w14:paraId="60941584" w14:textId="77777777" w:rsidR="005B6202" w:rsidRPr="00562C68" w:rsidRDefault="00B43232">
      <w:pPr>
        <w:pStyle w:val="Body"/>
      </w:pPr>
      <w:r w:rsidRPr="00562C68">
        <w:rPr>
          <w:noProof/>
        </w:rPr>
        <w:drawing>
          <wp:inline distT="0" distB="0" distL="0" distR="0" wp14:anchorId="23996FD6" wp14:editId="50642284">
            <wp:extent cx="2103120" cy="1066800"/>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7"/>
                    <a:stretch>
                      <a:fillRect/>
                    </a:stretch>
                  </pic:blipFill>
                  <pic:spPr>
                    <a:xfrm>
                      <a:off x="0" y="0"/>
                      <a:ext cx="2103120" cy="1066800"/>
                    </a:xfrm>
                    <a:prstGeom prst="rect">
                      <a:avLst/>
                    </a:prstGeom>
                    <a:ln w="12700" cap="flat">
                      <a:noFill/>
                      <a:miter lim="400000"/>
                    </a:ln>
                    <a:effectLst/>
                  </pic:spPr>
                </pic:pic>
              </a:graphicData>
            </a:graphic>
          </wp:inline>
        </w:drawing>
      </w:r>
    </w:p>
    <w:p w14:paraId="2C0A6629" w14:textId="77777777" w:rsidR="005B6202" w:rsidRPr="00562C68" w:rsidRDefault="005B6202">
      <w:pPr>
        <w:pStyle w:val="Body"/>
      </w:pPr>
    </w:p>
    <w:p w14:paraId="25FDFA61" w14:textId="77777777" w:rsidR="005B6202" w:rsidRPr="00562C68" w:rsidRDefault="005B6202">
      <w:pPr>
        <w:pStyle w:val="Body"/>
        <w:rPr>
          <w:b/>
          <w:bCs/>
          <w:sz w:val="52"/>
          <w:szCs w:val="52"/>
        </w:rPr>
      </w:pPr>
    </w:p>
    <w:p w14:paraId="1B7B19A8" w14:textId="77777777" w:rsidR="005B6202" w:rsidRPr="00562C68" w:rsidRDefault="00B43232">
      <w:pPr>
        <w:pStyle w:val="Body"/>
        <w:rPr>
          <w:b/>
          <w:bCs/>
          <w:sz w:val="52"/>
          <w:szCs w:val="52"/>
        </w:rPr>
      </w:pPr>
      <w:r w:rsidRPr="00562C68">
        <w:rPr>
          <w:b/>
          <w:bCs/>
          <w:sz w:val="52"/>
          <w:szCs w:val="52"/>
          <w:lang w:val="en-US"/>
        </w:rPr>
        <w:t>Grievance Policy/Procedure</w:t>
      </w:r>
    </w:p>
    <w:p w14:paraId="5C940145" w14:textId="77777777" w:rsidR="005B6202" w:rsidRPr="00562C68" w:rsidRDefault="005B6202">
      <w:pPr>
        <w:pStyle w:val="Body"/>
        <w:rPr>
          <w:b/>
          <w:bCs/>
          <w:sz w:val="40"/>
          <w:szCs w:val="40"/>
        </w:rPr>
      </w:pPr>
    </w:p>
    <w:p w14:paraId="35019998" w14:textId="77777777" w:rsidR="005B6202" w:rsidRPr="00562C68" w:rsidRDefault="005B6202">
      <w:pPr>
        <w:pStyle w:val="Body"/>
        <w:rPr>
          <w:b/>
          <w:bCs/>
          <w:sz w:val="40"/>
          <w:szCs w:val="40"/>
        </w:rPr>
      </w:pPr>
    </w:p>
    <w:p w14:paraId="196E3AC8" w14:textId="77777777" w:rsidR="005B6202" w:rsidRPr="00562C68" w:rsidRDefault="005B6202">
      <w:pPr>
        <w:pStyle w:val="Body"/>
        <w:rPr>
          <w:b/>
          <w:bCs/>
          <w:sz w:val="40"/>
          <w:szCs w:val="40"/>
        </w:rPr>
      </w:pPr>
    </w:p>
    <w:p w14:paraId="34D1C6F9" w14:textId="77777777" w:rsidR="005B6202" w:rsidRPr="00562C68" w:rsidRDefault="005B6202">
      <w:pPr>
        <w:pStyle w:val="Body"/>
        <w:rPr>
          <w:b/>
          <w:bCs/>
          <w:sz w:val="40"/>
          <w:szCs w:val="40"/>
        </w:rPr>
      </w:pPr>
    </w:p>
    <w:p w14:paraId="6ECB20C3" w14:textId="77777777" w:rsidR="005B6202" w:rsidRPr="00562C68" w:rsidRDefault="005B6202">
      <w:pPr>
        <w:pStyle w:val="Body"/>
        <w:rPr>
          <w:b/>
          <w:bCs/>
          <w:sz w:val="40"/>
          <w:szCs w:val="40"/>
        </w:rPr>
      </w:pPr>
    </w:p>
    <w:p w14:paraId="01B4BEAC" w14:textId="77777777" w:rsidR="005B6202" w:rsidRPr="00562C68" w:rsidRDefault="005B6202">
      <w:pPr>
        <w:pStyle w:val="Body"/>
        <w:rPr>
          <w:b/>
          <w:bCs/>
          <w:sz w:val="40"/>
          <w:szCs w:val="40"/>
        </w:rPr>
      </w:pPr>
    </w:p>
    <w:p w14:paraId="0E037A45" w14:textId="77777777" w:rsidR="005B6202" w:rsidRPr="00562C68" w:rsidRDefault="005B6202">
      <w:pPr>
        <w:pStyle w:val="Body"/>
        <w:rPr>
          <w:b/>
          <w:bCs/>
          <w:sz w:val="40"/>
          <w:szCs w:val="40"/>
        </w:rPr>
      </w:pPr>
    </w:p>
    <w:p w14:paraId="36765BDF" w14:textId="77777777" w:rsidR="005B6202" w:rsidRPr="00562C68" w:rsidRDefault="005B6202">
      <w:pPr>
        <w:pStyle w:val="Body"/>
        <w:rPr>
          <w:b/>
          <w:bCs/>
          <w:sz w:val="40"/>
          <w:szCs w:val="40"/>
        </w:rPr>
      </w:pPr>
    </w:p>
    <w:p w14:paraId="75AF4A55" w14:textId="77777777" w:rsidR="005B6202" w:rsidRPr="00562C68" w:rsidRDefault="005B6202">
      <w:pPr>
        <w:pStyle w:val="Body"/>
        <w:rPr>
          <w:b/>
          <w:bCs/>
          <w:sz w:val="40"/>
          <w:szCs w:val="40"/>
        </w:rPr>
      </w:pPr>
    </w:p>
    <w:p w14:paraId="60C3944A" w14:textId="77777777" w:rsidR="005B6202" w:rsidRPr="00562C68" w:rsidRDefault="005B6202">
      <w:pPr>
        <w:pStyle w:val="Body"/>
        <w:rPr>
          <w:b/>
          <w:bCs/>
          <w:sz w:val="40"/>
          <w:szCs w:val="40"/>
        </w:rPr>
      </w:pPr>
    </w:p>
    <w:p w14:paraId="4A1CCD00" w14:textId="77777777" w:rsidR="005B6202" w:rsidRPr="00562C68" w:rsidRDefault="005B6202">
      <w:pPr>
        <w:pStyle w:val="Body"/>
        <w:rPr>
          <w:b/>
          <w:bCs/>
          <w:sz w:val="40"/>
          <w:szCs w:val="40"/>
        </w:rPr>
      </w:pPr>
    </w:p>
    <w:p w14:paraId="4DF144FA" w14:textId="77777777" w:rsidR="005B6202" w:rsidRPr="00562C68" w:rsidRDefault="005B6202">
      <w:pPr>
        <w:pStyle w:val="Body"/>
        <w:rPr>
          <w:b/>
          <w:bCs/>
          <w:sz w:val="40"/>
          <w:szCs w:val="40"/>
        </w:rPr>
      </w:pPr>
    </w:p>
    <w:p w14:paraId="3BF00BB4" w14:textId="77777777" w:rsidR="005B6202" w:rsidRPr="00562C68" w:rsidRDefault="005B6202">
      <w:pPr>
        <w:pStyle w:val="Body"/>
        <w:rPr>
          <w:b/>
          <w:bCs/>
          <w:sz w:val="40"/>
          <w:szCs w:val="40"/>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9"/>
        <w:gridCol w:w="2268"/>
        <w:gridCol w:w="1417"/>
        <w:gridCol w:w="2636"/>
      </w:tblGrid>
      <w:tr w:rsidR="005B6202" w:rsidRPr="00562C68" w14:paraId="4AD96AF7" w14:textId="77777777">
        <w:trPr>
          <w:trHeight w:val="407"/>
        </w:trPr>
        <w:tc>
          <w:tcPr>
            <w:tcW w:w="268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2FDCCEA" w14:textId="77777777" w:rsidR="005B6202" w:rsidRPr="00562C68" w:rsidRDefault="00B43232">
            <w:pPr>
              <w:pStyle w:val="Body"/>
            </w:pPr>
            <w:r w:rsidRPr="00562C68">
              <w:rPr>
                <w:b/>
                <w:bCs/>
                <w:sz w:val="28"/>
                <w:szCs w:val="28"/>
                <w:lang w:val="en-US"/>
              </w:rPr>
              <w:t>Designation</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5DAADC49" w14:textId="77777777" w:rsidR="005B6202" w:rsidRPr="00562C68" w:rsidRDefault="00B43232">
            <w:pPr>
              <w:pStyle w:val="Body"/>
            </w:pPr>
            <w:r w:rsidRPr="00562C68">
              <w:rPr>
                <w:b/>
                <w:bCs/>
                <w:sz w:val="28"/>
                <w:szCs w:val="28"/>
                <w:lang w:val="en-US"/>
              </w:rPr>
              <w:t>Name</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ED1CDF6" w14:textId="77777777" w:rsidR="005B6202" w:rsidRPr="00562C68" w:rsidRDefault="00B43232">
            <w:pPr>
              <w:pStyle w:val="Body"/>
            </w:pPr>
            <w:r w:rsidRPr="00562C68">
              <w:rPr>
                <w:b/>
                <w:bCs/>
                <w:sz w:val="28"/>
                <w:szCs w:val="28"/>
                <w:lang w:val="en-US"/>
              </w:rPr>
              <w:t>Date</w:t>
            </w:r>
          </w:p>
        </w:tc>
        <w:tc>
          <w:tcPr>
            <w:tcW w:w="263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51D7475C" w14:textId="77777777" w:rsidR="005B6202" w:rsidRPr="00562C68" w:rsidRDefault="00B43232">
            <w:pPr>
              <w:pStyle w:val="Body"/>
            </w:pPr>
            <w:r w:rsidRPr="00562C68">
              <w:rPr>
                <w:b/>
                <w:bCs/>
                <w:sz w:val="28"/>
                <w:szCs w:val="28"/>
                <w:lang w:val="en-US"/>
              </w:rPr>
              <w:t>Signature</w:t>
            </w:r>
          </w:p>
        </w:tc>
      </w:tr>
      <w:tr w:rsidR="005B6202" w:rsidRPr="00562C68" w14:paraId="5896BD26" w14:textId="77777777">
        <w:trPr>
          <w:trHeight w:val="69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957B5" w14:textId="77777777" w:rsidR="005B6202" w:rsidRPr="00562C68" w:rsidRDefault="00B43232">
            <w:pPr>
              <w:pStyle w:val="Body"/>
            </w:pPr>
            <w:r w:rsidRPr="00562C68">
              <w:rPr>
                <w:sz w:val="28"/>
                <w:szCs w:val="28"/>
                <w:lang w:val="en-US"/>
              </w:rPr>
              <w:t>CEO: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6634A" w14:textId="77777777" w:rsidR="005B6202" w:rsidRPr="00562C68" w:rsidRDefault="00B43232">
            <w:pPr>
              <w:pStyle w:val="Body"/>
            </w:pPr>
            <w:proofErr w:type="spellStart"/>
            <w:r w:rsidRPr="00562C68">
              <w:rPr>
                <w:sz w:val="28"/>
                <w:szCs w:val="28"/>
                <w:lang w:val="en-US"/>
              </w:rPr>
              <w:t>Mrs</w:t>
            </w:r>
            <w:proofErr w:type="spellEnd"/>
            <w:r w:rsidRPr="00562C68">
              <w:rPr>
                <w:sz w:val="28"/>
                <w:szCs w:val="28"/>
                <w:lang w:val="en-US"/>
              </w:rPr>
              <w:t xml:space="preserve"> Lyn Dance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BF1FD" w14:textId="77777777" w:rsidR="005B6202" w:rsidRPr="00562C68" w:rsidRDefault="005B6202">
            <w:pPr>
              <w:rPr>
                <w:rFonts w:ascii="Calibri" w:hAnsi="Calibri"/>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F4429" w14:textId="77777777" w:rsidR="005B6202" w:rsidRPr="00562C68" w:rsidRDefault="005B6202">
            <w:pPr>
              <w:rPr>
                <w:rFonts w:ascii="Calibri" w:hAnsi="Calibri"/>
              </w:rPr>
            </w:pPr>
          </w:p>
        </w:tc>
      </w:tr>
      <w:tr w:rsidR="005B6202" w:rsidRPr="00562C68" w14:paraId="136FD10D" w14:textId="77777777">
        <w:trPr>
          <w:trHeight w:val="69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335FE" w14:textId="77777777" w:rsidR="005B6202" w:rsidRPr="00562C68" w:rsidRDefault="00B43232">
            <w:pPr>
              <w:pStyle w:val="Body"/>
            </w:pPr>
            <w:r w:rsidRPr="00562C68">
              <w:rPr>
                <w:sz w:val="28"/>
                <w:szCs w:val="28"/>
                <w:lang w:val="en-US"/>
              </w:rPr>
              <w:t>Chair of Trust Board: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B2D4A" w14:textId="77777777" w:rsidR="005B6202" w:rsidRPr="00562C68" w:rsidRDefault="00B43232">
            <w:pPr>
              <w:pStyle w:val="Body"/>
            </w:pPr>
            <w:proofErr w:type="spellStart"/>
            <w:r w:rsidRPr="00562C68">
              <w:rPr>
                <w:sz w:val="28"/>
                <w:szCs w:val="28"/>
                <w:lang w:val="en-US"/>
              </w:rPr>
              <w:t>Mr</w:t>
            </w:r>
            <w:proofErr w:type="spellEnd"/>
            <w:r w:rsidRPr="00562C68">
              <w:rPr>
                <w:sz w:val="28"/>
                <w:szCs w:val="28"/>
                <w:lang w:val="en-US"/>
              </w:rPr>
              <w:t xml:space="preserve"> David Ellis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52575" w14:textId="77777777" w:rsidR="005B6202" w:rsidRPr="00562C68" w:rsidRDefault="005B6202">
            <w:pPr>
              <w:rPr>
                <w:rFonts w:ascii="Calibri" w:hAnsi="Calibri"/>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ACE7A" w14:textId="77777777" w:rsidR="005B6202" w:rsidRPr="00562C68" w:rsidRDefault="005B6202">
            <w:pPr>
              <w:rPr>
                <w:rFonts w:ascii="Calibri" w:hAnsi="Calibri"/>
              </w:rPr>
            </w:pPr>
          </w:p>
        </w:tc>
      </w:tr>
    </w:tbl>
    <w:p w14:paraId="43B39213" w14:textId="77777777" w:rsidR="005B6202" w:rsidRPr="00562C68" w:rsidRDefault="005B6202">
      <w:pPr>
        <w:pStyle w:val="Body"/>
        <w:widowControl w:val="0"/>
        <w:rPr>
          <w:b/>
          <w:bCs/>
          <w:sz w:val="40"/>
          <w:szCs w:val="40"/>
        </w:rPr>
      </w:pPr>
    </w:p>
    <w:p w14:paraId="5AF7BF23" w14:textId="77777777" w:rsidR="005B6202" w:rsidRPr="00562C68" w:rsidRDefault="005B6202">
      <w:pPr>
        <w:pStyle w:val="Body"/>
        <w:rPr>
          <w:b/>
          <w:bCs/>
          <w:sz w:val="40"/>
          <w:szCs w:val="40"/>
        </w:rPr>
      </w:pPr>
    </w:p>
    <w:p w14:paraId="6D6C928E" w14:textId="77777777" w:rsidR="005B6202" w:rsidRPr="00562C68" w:rsidRDefault="005B6202">
      <w:pPr>
        <w:pStyle w:val="Body"/>
        <w:rPr>
          <w:b/>
          <w:bCs/>
          <w:sz w:val="40"/>
          <w:szCs w:val="40"/>
        </w:rPr>
      </w:pPr>
    </w:p>
    <w:p w14:paraId="793F408D" w14:textId="77777777" w:rsidR="005B6202" w:rsidRPr="00562C68" w:rsidRDefault="005B6202">
      <w:pPr>
        <w:pStyle w:val="Body"/>
        <w:rPr>
          <w:b/>
          <w:bCs/>
          <w:sz w:val="40"/>
          <w:szCs w:val="4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679"/>
      </w:tblGrid>
      <w:tr w:rsidR="005B6202" w:rsidRPr="00562C68" w14:paraId="2C63A392" w14:textId="77777777" w:rsidTr="0065685A">
        <w:trPr>
          <w:trHeight w:val="28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A9C61E1" w14:textId="77777777" w:rsidR="005B6202" w:rsidRPr="00562C68" w:rsidRDefault="00B43232">
            <w:pPr>
              <w:pStyle w:val="Body"/>
              <w:spacing w:before="120" w:after="120"/>
            </w:pPr>
            <w:r w:rsidRPr="00562C68">
              <w:rPr>
                <w:b/>
                <w:bCs/>
                <w:lang w:val="en-US"/>
              </w:rPr>
              <w:t>Monitoring and Evaluation</w:t>
            </w:r>
          </w:p>
        </w:tc>
      </w:tr>
      <w:tr w:rsidR="005B6202" w:rsidRPr="00562C68" w14:paraId="7C641019" w14:textId="77777777">
        <w:trPr>
          <w:trHeight w:val="28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6DFAD" w14:textId="77777777" w:rsidR="005B6202" w:rsidRPr="00562C68" w:rsidRDefault="00B43232">
            <w:pPr>
              <w:pStyle w:val="Body"/>
              <w:spacing w:before="120" w:after="120"/>
            </w:pPr>
            <w:r w:rsidRPr="00562C68">
              <w:rPr>
                <w:lang w:val="en-US"/>
              </w:rPr>
              <w:t>Original implementation date:</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95D7" w14:textId="77777777" w:rsidR="005B6202" w:rsidRPr="00562C68" w:rsidRDefault="00B43232">
            <w:pPr>
              <w:pStyle w:val="Body"/>
              <w:spacing w:before="120" w:after="120"/>
            </w:pPr>
            <w:r w:rsidRPr="00562C68">
              <w:rPr>
                <w:lang w:val="en-US"/>
              </w:rPr>
              <w:t>October 2020</w:t>
            </w:r>
          </w:p>
        </w:tc>
      </w:tr>
      <w:tr w:rsidR="005B6202" w:rsidRPr="00562C68" w14:paraId="63CA7BE9" w14:textId="77777777" w:rsidTr="00EC79B8">
        <w:trPr>
          <w:trHeight w:val="28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A9BB9" w14:textId="77777777" w:rsidR="005B6202" w:rsidRPr="00562C68" w:rsidRDefault="00B43232">
            <w:pPr>
              <w:pStyle w:val="Body"/>
              <w:spacing w:before="120" w:after="120"/>
            </w:pPr>
            <w:r w:rsidRPr="00562C68">
              <w:rPr>
                <w:lang w:val="en-US"/>
              </w:rPr>
              <w:t>Review frequency:</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4DFCC" w14:textId="4005697C" w:rsidR="005B6202" w:rsidRPr="00562C68" w:rsidRDefault="00EC79B8" w:rsidP="00EC79B8">
            <w:pPr>
              <w:rPr>
                <w:rFonts w:ascii="Calibri" w:hAnsi="Calibri"/>
              </w:rPr>
            </w:pPr>
            <w:r>
              <w:rPr>
                <w:rFonts w:ascii="Calibri" w:hAnsi="Calibri"/>
              </w:rPr>
              <w:t>Annual</w:t>
            </w:r>
          </w:p>
        </w:tc>
      </w:tr>
      <w:tr w:rsidR="005B6202" w:rsidRPr="00562C68" w14:paraId="00AA716E" w14:textId="77777777" w:rsidTr="00EC79B8">
        <w:trPr>
          <w:trHeight w:val="28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7B93" w14:textId="77777777" w:rsidR="005B6202" w:rsidRPr="00562C68" w:rsidRDefault="00B43232">
            <w:pPr>
              <w:pStyle w:val="Body"/>
              <w:spacing w:before="120" w:after="120"/>
            </w:pPr>
            <w:r w:rsidRPr="00562C68">
              <w:rPr>
                <w:lang w:val="en-US"/>
              </w:rPr>
              <w:t>Date of next Review:</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19FC1" w14:textId="38CA5C98" w:rsidR="005B6202" w:rsidRPr="00562C68" w:rsidRDefault="00EC79B8" w:rsidP="00EC79B8">
            <w:pPr>
              <w:rPr>
                <w:rFonts w:ascii="Calibri" w:hAnsi="Calibri"/>
              </w:rPr>
            </w:pPr>
            <w:r>
              <w:rPr>
                <w:rFonts w:ascii="Calibri" w:hAnsi="Calibri"/>
              </w:rPr>
              <w:t>April 202</w:t>
            </w:r>
            <w:r w:rsidR="00DB57BC">
              <w:rPr>
                <w:rFonts w:ascii="Calibri" w:hAnsi="Calibri"/>
              </w:rPr>
              <w:t>3</w:t>
            </w:r>
          </w:p>
        </w:tc>
      </w:tr>
      <w:tr w:rsidR="005B6202" w:rsidRPr="00562C68" w14:paraId="5A023433" w14:textId="77777777" w:rsidTr="00EC79B8">
        <w:trPr>
          <w:trHeight w:val="28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E32EC" w14:textId="77777777" w:rsidR="005B6202" w:rsidRPr="00562C68" w:rsidRDefault="00B43232">
            <w:pPr>
              <w:pStyle w:val="Body"/>
              <w:spacing w:before="120" w:after="120"/>
            </w:pPr>
            <w:r w:rsidRPr="00562C68">
              <w:rPr>
                <w:lang w:val="en-US"/>
              </w:rPr>
              <w:t>Review delegated to:</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456C8" w14:textId="77777777" w:rsidR="005B6202" w:rsidRPr="00562C68" w:rsidRDefault="005B6202" w:rsidP="00EC79B8">
            <w:pPr>
              <w:rPr>
                <w:rFonts w:ascii="Calibri" w:hAnsi="Calibri"/>
              </w:rPr>
            </w:pPr>
          </w:p>
        </w:tc>
      </w:tr>
    </w:tbl>
    <w:p w14:paraId="21995C39" w14:textId="77777777" w:rsidR="005B6202" w:rsidRPr="00562C68" w:rsidRDefault="005B6202">
      <w:pPr>
        <w:pStyle w:val="Body"/>
        <w:widowControl w:val="0"/>
        <w:rPr>
          <w:b/>
          <w:bCs/>
          <w:sz w:val="40"/>
          <w:szCs w:val="40"/>
        </w:rPr>
      </w:pPr>
    </w:p>
    <w:p w14:paraId="1373CC6E" w14:textId="77777777" w:rsidR="005B6202" w:rsidRPr="00562C68" w:rsidRDefault="005B6202">
      <w:pPr>
        <w:pStyle w:val="Body"/>
        <w:rPr>
          <w:b/>
          <w:bCs/>
          <w:sz w:val="40"/>
          <w:szCs w:val="40"/>
        </w:rPr>
      </w:pPr>
    </w:p>
    <w:p w14:paraId="5C7643A5" w14:textId="77777777" w:rsidR="005B6202" w:rsidRPr="00562C68" w:rsidRDefault="005B6202">
      <w:pPr>
        <w:pStyle w:val="Body"/>
        <w:rPr>
          <w:b/>
          <w:bCs/>
          <w:sz w:val="40"/>
          <w:szCs w:val="40"/>
        </w:rPr>
      </w:pPr>
    </w:p>
    <w:p w14:paraId="400DE6CF" w14:textId="77777777" w:rsidR="005B6202" w:rsidRPr="00562C68" w:rsidRDefault="00B43232">
      <w:pPr>
        <w:pStyle w:val="Body"/>
        <w:rPr>
          <w:rFonts w:eastAsia="Arial" w:cs="Arial"/>
          <w:b/>
          <w:bCs/>
        </w:rPr>
      </w:pPr>
      <w:r w:rsidRPr="00562C68">
        <w:rPr>
          <w:b/>
          <w:bCs/>
          <w:lang w:val="fr-FR"/>
        </w:rPr>
        <w:t>Document Version control</w:t>
      </w:r>
    </w:p>
    <w:p w14:paraId="705C732E" w14:textId="77777777" w:rsidR="005B6202" w:rsidRPr="00562C68" w:rsidRDefault="005B6202">
      <w:pPr>
        <w:pStyle w:val="Body"/>
        <w:rPr>
          <w:rFonts w:eastAsia="Arial" w:cs="Arial"/>
          <w:b/>
          <w:bCs/>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1"/>
        <w:gridCol w:w="5670"/>
        <w:gridCol w:w="2319"/>
      </w:tblGrid>
      <w:tr w:rsidR="005B6202" w:rsidRPr="00562C68" w14:paraId="416D561F"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5BB9FB4" w14:textId="77777777" w:rsidR="005B6202" w:rsidRPr="00562C68" w:rsidRDefault="00B43232">
            <w:pPr>
              <w:pStyle w:val="Body"/>
            </w:pPr>
            <w:r w:rsidRPr="00562C68">
              <w:rPr>
                <w:b/>
                <w:bCs/>
                <w:lang w:val="en-US"/>
              </w:rPr>
              <w:t>Version</w:t>
            </w:r>
          </w:p>
        </w:tc>
        <w:tc>
          <w:tcPr>
            <w:tcW w:w="567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9EA76C3" w14:textId="77777777" w:rsidR="005B6202" w:rsidRPr="00562C68" w:rsidRDefault="00B43232">
            <w:pPr>
              <w:pStyle w:val="Body"/>
            </w:pPr>
            <w:r w:rsidRPr="00562C68">
              <w:rPr>
                <w:b/>
                <w:bCs/>
                <w:lang w:val="en-US"/>
              </w:rPr>
              <w:t>Changes made</w:t>
            </w:r>
          </w:p>
        </w:tc>
        <w:tc>
          <w:tcPr>
            <w:tcW w:w="23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2DADD6D" w14:textId="77777777" w:rsidR="005B6202" w:rsidRPr="00562C68" w:rsidRDefault="00B43232">
            <w:pPr>
              <w:pStyle w:val="Body"/>
            </w:pPr>
            <w:r w:rsidRPr="00562C68">
              <w:rPr>
                <w:b/>
                <w:bCs/>
                <w:lang w:val="en-US"/>
              </w:rPr>
              <w:t>Date</w:t>
            </w:r>
          </w:p>
        </w:tc>
      </w:tr>
      <w:tr w:rsidR="005B6202" w:rsidRPr="0065685A" w14:paraId="00676324"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DAD98" w14:textId="77777777" w:rsidR="005B6202" w:rsidRPr="0065685A" w:rsidRDefault="00B43232">
            <w:pPr>
              <w:pStyle w:val="Body"/>
              <w:rPr>
                <w:sz w:val="22"/>
                <w:szCs w:val="22"/>
              </w:rPr>
            </w:pPr>
            <w:r w:rsidRPr="0065685A">
              <w:rPr>
                <w:sz w:val="22"/>
                <w:szCs w:val="22"/>
                <w:lang w:val="en-US"/>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95AE3" w14:textId="77777777" w:rsidR="005B6202" w:rsidRPr="0065685A" w:rsidRDefault="00B43232">
            <w:pPr>
              <w:pStyle w:val="Body"/>
              <w:rPr>
                <w:sz w:val="22"/>
                <w:szCs w:val="22"/>
              </w:rPr>
            </w:pPr>
            <w:r w:rsidRPr="0065685A">
              <w:rPr>
                <w:sz w:val="22"/>
                <w:szCs w:val="22"/>
                <w:lang w:val="en-US"/>
              </w:rPr>
              <w:t>Initial set up of Trust-wide policy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098EC" w14:textId="77777777" w:rsidR="005B6202" w:rsidRPr="0065685A" w:rsidRDefault="00B43232">
            <w:pPr>
              <w:pStyle w:val="Body"/>
              <w:rPr>
                <w:sz w:val="22"/>
                <w:szCs w:val="22"/>
              </w:rPr>
            </w:pPr>
            <w:r w:rsidRPr="0065685A">
              <w:rPr>
                <w:sz w:val="22"/>
                <w:szCs w:val="22"/>
                <w:lang w:val="en-US"/>
              </w:rPr>
              <w:t>October 2020</w:t>
            </w:r>
          </w:p>
        </w:tc>
      </w:tr>
      <w:tr w:rsidR="005B6202" w:rsidRPr="0065685A" w14:paraId="4C6612AD"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3018C" w14:textId="3F3F62D7" w:rsidR="005B6202" w:rsidRPr="0065685A" w:rsidRDefault="0065685A">
            <w:pPr>
              <w:rPr>
                <w:rFonts w:ascii="Calibri" w:hAnsi="Calibri" w:cs="Arial"/>
                <w:sz w:val="22"/>
                <w:szCs w:val="22"/>
              </w:rPr>
            </w:pPr>
            <w:r w:rsidRPr="0065685A">
              <w:rPr>
                <w:rFonts w:ascii="Calibri" w:hAnsi="Calibri" w:cs="Arial"/>
                <w:sz w:val="22"/>
                <w:szCs w:val="22"/>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F0472" w14:textId="23E6EDA0" w:rsidR="005B6202" w:rsidRPr="0065685A" w:rsidRDefault="0065685A">
            <w:pPr>
              <w:rPr>
                <w:rFonts w:ascii="Calibri" w:hAnsi="Calibri"/>
                <w:sz w:val="22"/>
                <w:szCs w:val="22"/>
              </w:rPr>
            </w:pPr>
            <w:r w:rsidRPr="0065685A">
              <w:rPr>
                <w:rFonts w:ascii="Calibri" w:hAnsi="Calibri"/>
                <w:sz w:val="22"/>
                <w:szCs w:val="22"/>
              </w:rPr>
              <w:t xml:space="preserve">Clarification needed for timescales and other minor changes </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A4E2E" w14:textId="6E9F475C" w:rsidR="005B6202" w:rsidRPr="0065685A" w:rsidRDefault="0065685A">
            <w:pPr>
              <w:rPr>
                <w:rFonts w:ascii="Calibri" w:hAnsi="Calibri"/>
                <w:sz w:val="22"/>
                <w:szCs w:val="22"/>
              </w:rPr>
            </w:pPr>
            <w:r w:rsidRPr="0065685A">
              <w:rPr>
                <w:rFonts w:ascii="Calibri" w:hAnsi="Calibri"/>
                <w:sz w:val="22"/>
                <w:szCs w:val="22"/>
              </w:rPr>
              <w:t>April 2021</w:t>
            </w:r>
          </w:p>
        </w:tc>
      </w:tr>
      <w:tr w:rsidR="005B6202" w:rsidRPr="00DB57BC" w14:paraId="7C5ADF94"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75A22" w14:textId="77777777" w:rsidR="005B6202" w:rsidRPr="00DB57BC" w:rsidRDefault="005B6202">
            <w:pPr>
              <w:rPr>
                <w:rFonts w:ascii="Calibri" w:hAnsi="Calibri"/>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7152" w14:textId="4268ED16" w:rsidR="005B6202" w:rsidRPr="00DB57BC" w:rsidRDefault="00DB57BC">
            <w:pPr>
              <w:rPr>
                <w:rFonts w:ascii="Calibri" w:hAnsi="Calibri"/>
                <w:sz w:val="22"/>
                <w:szCs w:val="22"/>
              </w:rPr>
            </w:pPr>
            <w:r w:rsidRPr="00DB57BC">
              <w:rPr>
                <w:rFonts w:ascii="Calibri" w:hAnsi="Calibri"/>
                <w:sz w:val="22"/>
                <w:szCs w:val="22"/>
              </w:rPr>
              <w:t>Reviewed</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CF549" w14:textId="2668B1F0" w:rsidR="005B6202" w:rsidRPr="00DB57BC" w:rsidRDefault="00DB57BC">
            <w:pPr>
              <w:rPr>
                <w:rFonts w:ascii="Calibri" w:hAnsi="Calibri"/>
                <w:sz w:val="22"/>
                <w:szCs w:val="22"/>
              </w:rPr>
            </w:pPr>
            <w:r w:rsidRPr="00DB57BC">
              <w:rPr>
                <w:rFonts w:ascii="Calibri" w:hAnsi="Calibri"/>
                <w:sz w:val="22"/>
                <w:szCs w:val="22"/>
              </w:rPr>
              <w:t>April 2022</w:t>
            </w:r>
          </w:p>
        </w:tc>
      </w:tr>
      <w:tr w:rsidR="005B6202" w:rsidRPr="00562C68" w14:paraId="720B9CCD"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03DB5" w14:textId="77777777" w:rsidR="005B6202" w:rsidRPr="00562C68" w:rsidRDefault="005B6202">
            <w:pPr>
              <w:rPr>
                <w:rFonts w:ascii="Calibri" w:hAnsi="Calibri"/>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C15DB" w14:textId="77777777" w:rsidR="005B6202" w:rsidRPr="00562C68" w:rsidRDefault="005B6202">
            <w:pPr>
              <w:rPr>
                <w:rFonts w:ascii="Calibri" w:hAnsi="Calibr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F48E1" w14:textId="77777777" w:rsidR="005B6202" w:rsidRPr="00562C68" w:rsidRDefault="005B6202">
            <w:pPr>
              <w:rPr>
                <w:rFonts w:ascii="Calibri" w:hAnsi="Calibri"/>
              </w:rPr>
            </w:pPr>
          </w:p>
        </w:tc>
      </w:tr>
      <w:tr w:rsidR="005B6202" w:rsidRPr="00562C68" w14:paraId="3B5B22C3"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B6619" w14:textId="77777777" w:rsidR="005B6202" w:rsidRPr="00562C68" w:rsidRDefault="005B6202">
            <w:pPr>
              <w:rPr>
                <w:rFonts w:ascii="Calibri" w:hAnsi="Calibri"/>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8B036" w14:textId="77777777" w:rsidR="005B6202" w:rsidRPr="00562C68" w:rsidRDefault="005B6202">
            <w:pPr>
              <w:rPr>
                <w:rFonts w:ascii="Calibri" w:hAnsi="Calibr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CED5F" w14:textId="77777777" w:rsidR="005B6202" w:rsidRPr="00562C68" w:rsidRDefault="005B6202">
            <w:pPr>
              <w:rPr>
                <w:rFonts w:ascii="Calibri" w:hAnsi="Calibri"/>
              </w:rPr>
            </w:pPr>
          </w:p>
        </w:tc>
      </w:tr>
      <w:tr w:rsidR="005B6202" w:rsidRPr="00562C68" w14:paraId="7485D72E"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17718" w14:textId="77777777" w:rsidR="005B6202" w:rsidRPr="00562C68" w:rsidRDefault="005B6202">
            <w:pPr>
              <w:rPr>
                <w:rFonts w:ascii="Calibri" w:hAnsi="Calibri"/>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2AEE7" w14:textId="77777777" w:rsidR="005B6202" w:rsidRPr="00562C68" w:rsidRDefault="005B6202">
            <w:pPr>
              <w:rPr>
                <w:rFonts w:ascii="Calibri" w:hAnsi="Calibr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CD64B" w14:textId="77777777" w:rsidR="005B6202" w:rsidRPr="00562C68" w:rsidRDefault="005B6202">
            <w:pPr>
              <w:rPr>
                <w:rFonts w:ascii="Calibri" w:hAnsi="Calibri"/>
              </w:rPr>
            </w:pPr>
          </w:p>
        </w:tc>
      </w:tr>
    </w:tbl>
    <w:p w14:paraId="4D9CFB0B" w14:textId="77777777" w:rsidR="005B6202" w:rsidRPr="00562C68" w:rsidRDefault="005B6202">
      <w:pPr>
        <w:pStyle w:val="Body"/>
        <w:widowControl w:val="0"/>
        <w:rPr>
          <w:rFonts w:eastAsia="Arial" w:cs="Arial"/>
          <w:b/>
          <w:bCs/>
        </w:rPr>
      </w:pPr>
    </w:p>
    <w:p w14:paraId="1A57AE3D" w14:textId="77777777" w:rsidR="005B6202" w:rsidRPr="00562C68" w:rsidRDefault="005B6202">
      <w:pPr>
        <w:pStyle w:val="Body"/>
        <w:rPr>
          <w:rFonts w:eastAsia="Arial" w:cs="Arial"/>
          <w:b/>
          <w:bCs/>
        </w:rPr>
      </w:pPr>
    </w:p>
    <w:p w14:paraId="30C41A73" w14:textId="77777777" w:rsidR="005B6202" w:rsidRPr="00562C68" w:rsidRDefault="00B43232">
      <w:pPr>
        <w:pStyle w:val="Body"/>
      </w:pPr>
      <w:r w:rsidRPr="00562C68">
        <w:rPr>
          <w:rFonts w:eastAsia="Arial Unicode MS" w:cs="Arial Unicode MS"/>
        </w:rPr>
        <w:br w:type="page"/>
      </w:r>
    </w:p>
    <w:p w14:paraId="6E3781C5" w14:textId="77777777" w:rsidR="005B6202" w:rsidRPr="00562C68" w:rsidRDefault="00B43232">
      <w:pPr>
        <w:pStyle w:val="ListParagraph"/>
        <w:numPr>
          <w:ilvl w:val="0"/>
          <w:numId w:val="2"/>
        </w:numPr>
        <w:spacing w:after="120"/>
        <w:rPr>
          <w:b/>
          <w:bCs/>
        </w:rPr>
      </w:pPr>
      <w:r w:rsidRPr="00562C68">
        <w:rPr>
          <w:b/>
          <w:bCs/>
        </w:rPr>
        <w:lastRenderedPageBreak/>
        <w:t>Introduction</w:t>
      </w:r>
    </w:p>
    <w:p w14:paraId="627A5428" w14:textId="77777777" w:rsidR="005B6202" w:rsidRPr="00562C68" w:rsidRDefault="00B43232">
      <w:pPr>
        <w:pStyle w:val="ListParagraph"/>
        <w:numPr>
          <w:ilvl w:val="1"/>
          <w:numId w:val="2"/>
        </w:numPr>
        <w:spacing w:after="120"/>
      </w:pPr>
      <w:r w:rsidRPr="00562C68">
        <w:t xml:space="preserve">Should an employee at any time have a grievance connected with his or her employment it will be the </w:t>
      </w:r>
      <w:proofErr w:type="gramStart"/>
      <w:r w:rsidRPr="00562C68">
        <w:t>School’s</w:t>
      </w:r>
      <w:proofErr w:type="gramEnd"/>
      <w:r w:rsidRPr="00562C68">
        <w:t xml:space="preserve"> intention to consider and resolve it at the earliest opportunity.</w:t>
      </w:r>
    </w:p>
    <w:p w14:paraId="09FB6A76" w14:textId="77777777" w:rsidR="005B6202" w:rsidRPr="00562C68" w:rsidRDefault="00B43232" w:rsidP="00562C68">
      <w:pPr>
        <w:pStyle w:val="ListParagraph"/>
        <w:numPr>
          <w:ilvl w:val="1"/>
          <w:numId w:val="2"/>
        </w:numPr>
        <w:spacing w:after="120"/>
      </w:pPr>
      <w:r w:rsidRPr="00562C68">
        <w:t xml:space="preserve">The procedure is not contractual but applies to all employees who should </w:t>
      </w:r>
      <w:proofErr w:type="spellStart"/>
      <w:r w:rsidRPr="00562C68">
        <w:t>familiarise</w:t>
      </w:r>
      <w:proofErr w:type="spellEnd"/>
      <w:r w:rsidRPr="00562C68">
        <w:t xml:space="preserve"> themselves with its provisions. All stages of this process will be dealt without unreasonable delay.</w:t>
      </w:r>
    </w:p>
    <w:p w14:paraId="00F8F9EA" w14:textId="764E851C" w:rsidR="005B6202" w:rsidRPr="00562C68" w:rsidRDefault="00B43232" w:rsidP="00562C68">
      <w:pPr>
        <w:pStyle w:val="ListParagraph"/>
        <w:numPr>
          <w:ilvl w:val="1"/>
          <w:numId w:val="2"/>
        </w:numPr>
        <w:spacing w:after="120"/>
        <w:rPr>
          <w:color w:val="auto"/>
        </w:rPr>
      </w:pPr>
      <w:r w:rsidRPr="00562C68">
        <w:rPr>
          <w:color w:val="auto"/>
          <w:u w:color="FF0000"/>
        </w:rPr>
        <w:t xml:space="preserve">A </w:t>
      </w:r>
      <w:r w:rsidRPr="00562C68">
        <w:rPr>
          <w:b/>
          <w:bCs/>
          <w:color w:val="auto"/>
          <w:u w:color="FF0000"/>
        </w:rPr>
        <w:t>grievance</w:t>
      </w:r>
      <w:r w:rsidRPr="00562C68">
        <w:rPr>
          <w:color w:val="auto"/>
          <w:u w:color="FF0000"/>
        </w:rPr>
        <w:t xml:space="preserve"> is a concern, problem or complaint raised with the school by an employee. It can be caused by issues such as working conditions, </w:t>
      </w:r>
      <w:proofErr w:type="gramStart"/>
      <w:r w:rsidRPr="00562C68">
        <w:rPr>
          <w:color w:val="auto"/>
          <w:u w:color="FF0000"/>
        </w:rPr>
        <w:t>health</w:t>
      </w:r>
      <w:proofErr w:type="gramEnd"/>
      <w:r w:rsidRPr="00562C68">
        <w:rPr>
          <w:color w:val="auto"/>
          <w:u w:color="FF0000"/>
        </w:rPr>
        <w:t xml:space="preserve"> and safety concerns, bullying or discrimination or work relations. This policy does not cover issues raised by people who are not employed by the school, as this would fall under our complaints procedure</w:t>
      </w:r>
      <w:r w:rsidR="00562C68" w:rsidRPr="00562C68">
        <w:rPr>
          <w:color w:val="auto"/>
          <w:u w:color="FF0000"/>
        </w:rPr>
        <w:t>.</w:t>
      </w:r>
    </w:p>
    <w:p w14:paraId="6A331AA0" w14:textId="187574D4" w:rsidR="005B6202" w:rsidRPr="00562C68" w:rsidRDefault="00B43232" w:rsidP="00562C68">
      <w:pPr>
        <w:pStyle w:val="ListParagraph"/>
        <w:numPr>
          <w:ilvl w:val="1"/>
          <w:numId w:val="2"/>
        </w:numPr>
        <w:spacing w:after="240"/>
        <w:rPr>
          <w:color w:val="auto"/>
        </w:rPr>
      </w:pPr>
      <w:r w:rsidRPr="00562C68">
        <w:rPr>
          <w:color w:val="auto"/>
          <w:u w:color="FF0000"/>
        </w:rPr>
        <w:t xml:space="preserve">We are committed to dealing with grievances fairly and objectively. Employees will be protected from discrimination or </w:t>
      </w:r>
      <w:proofErr w:type="spellStart"/>
      <w:r w:rsidRPr="00562C68">
        <w:rPr>
          <w:color w:val="auto"/>
          <w:u w:color="FF0000"/>
        </w:rPr>
        <w:t>victimisation</w:t>
      </w:r>
      <w:proofErr w:type="spellEnd"/>
      <w:r w:rsidRPr="00562C68">
        <w:rPr>
          <w:color w:val="auto"/>
          <w:u w:color="FF0000"/>
        </w:rPr>
        <w:t xml:space="preserve"> after raising a work-related grievance.</w:t>
      </w:r>
    </w:p>
    <w:p w14:paraId="45916AD4" w14:textId="77777777" w:rsidR="005B6202" w:rsidRPr="00562C68" w:rsidRDefault="00B43232">
      <w:pPr>
        <w:pStyle w:val="ListParagraph"/>
        <w:numPr>
          <w:ilvl w:val="0"/>
          <w:numId w:val="2"/>
        </w:numPr>
        <w:spacing w:after="120"/>
        <w:rPr>
          <w:b/>
          <w:bCs/>
        </w:rPr>
      </w:pPr>
      <w:r w:rsidRPr="00562C68">
        <w:rPr>
          <w:b/>
          <w:bCs/>
        </w:rPr>
        <w:t>Informal</w:t>
      </w:r>
      <w:r w:rsidRPr="00562C68">
        <w:rPr>
          <w:b/>
          <w:bCs/>
        </w:rPr>
        <w:tab/>
      </w:r>
    </w:p>
    <w:p w14:paraId="76BC26C5" w14:textId="77777777" w:rsidR="005B6202" w:rsidRPr="00562C68" w:rsidRDefault="00B43232">
      <w:pPr>
        <w:pStyle w:val="ListParagraph"/>
        <w:numPr>
          <w:ilvl w:val="1"/>
          <w:numId w:val="2"/>
        </w:numPr>
        <w:spacing w:after="120"/>
      </w:pPr>
      <w:r w:rsidRPr="00562C68">
        <w:t>An employee who has a grievance with any aspect of his or her employment should raise it initially with his or her Head of Department or line manager and the matter will be discussed informally and resolved where possible</w:t>
      </w:r>
      <w:r w:rsidRPr="00562C68">
        <w:rPr>
          <w:smallCaps/>
        </w:rPr>
        <w:t>.</w:t>
      </w:r>
    </w:p>
    <w:p w14:paraId="2B285904" w14:textId="77777777" w:rsidR="005B6202" w:rsidRPr="00562C68" w:rsidRDefault="00B43232">
      <w:pPr>
        <w:pStyle w:val="ListParagraph"/>
        <w:numPr>
          <w:ilvl w:val="1"/>
          <w:numId w:val="2"/>
        </w:numPr>
        <w:spacing w:after="120"/>
      </w:pPr>
      <w:r w:rsidRPr="00562C68">
        <w:t>If the employee feels unable to speak to their manager, for example, because the complaint concerns him or her, then they should speak informally to a more senior manager such as the Headteacher.</w:t>
      </w:r>
    </w:p>
    <w:p w14:paraId="45EBB543" w14:textId="77777777" w:rsidR="005B6202" w:rsidRPr="00562C68" w:rsidRDefault="00B43232">
      <w:pPr>
        <w:pStyle w:val="ListParagraph"/>
        <w:numPr>
          <w:ilvl w:val="1"/>
          <w:numId w:val="2"/>
        </w:numPr>
        <w:spacing w:after="240"/>
      </w:pPr>
      <w:r w:rsidRPr="00562C68">
        <w:t>If this does not resolve the issue, the employee should follow the formal procedure set out below.</w:t>
      </w:r>
    </w:p>
    <w:p w14:paraId="7E9597C3" w14:textId="77777777" w:rsidR="005B6202" w:rsidRPr="00562C68" w:rsidRDefault="00B43232">
      <w:pPr>
        <w:pStyle w:val="ListParagraph"/>
        <w:numPr>
          <w:ilvl w:val="0"/>
          <w:numId w:val="2"/>
        </w:numPr>
        <w:spacing w:after="120"/>
        <w:rPr>
          <w:b/>
          <w:bCs/>
        </w:rPr>
      </w:pPr>
      <w:r w:rsidRPr="00562C68">
        <w:rPr>
          <w:b/>
          <w:bCs/>
        </w:rPr>
        <w:t>Formal</w:t>
      </w:r>
    </w:p>
    <w:p w14:paraId="4BEC1E88" w14:textId="77777777" w:rsidR="005B6202" w:rsidRPr="00562C68" w:rsidRDefault="00B43232">
      <w:pPr>
        <w:pStyle w:val="ListParagraph"/>
        <w:numPr>
          <w:ilvl w:val="1"/>
          <w:numId w:val="2"/>
        </w:numPr>
        <w:spacing w:after="120"/>
      </w:pPr>
      <w:r w:rsidRPr="00562C68">
        <w:t xml:space="preserve">If a grievance cannot be resolved informally or the employee considers they have not been fairly treated, they may raise their grievance in writing to their Head of Department or line manager and it will be treated as a formal grievance. </w:t>
      </w:r>
    </w:p>
    <w:p w14:paraId="3C5C29A3" w14:textId="77777777" w:rsidR="005B6202" w:rsidRPr="00562C68" w:rsidRDefault="00B43232">
      <w:pPr>
        <w:pStyle w:val="ListParagraph"/>
        <w:numPr>
          <w:ilvl w:val="1"/>
          <w:numId w:val="2"/>
        </w:numPr>
        <w:spacing w:after="120"/>
      </w:pPr>
      <w:r w:rsidRPr="00562C68">
        <w:t xml:space="preserve">If the grievance concerns the Head of Department or line </w:t>
      </w:r>
      <w:proofErr w:type="gramStart"/>
      <w:r w:rsidRPr="00562C68">
        <w:t>manager</w:t>
      </w:r>
      <w:proofErr w:type="gramEnd"/>
      <w:r w:rsidRPr="00562C68">
        <w:t xml:space="preserve"> it should be raised with the Headteacher. </w:t>
      </w:r>
    </w:p>
    <w:p w14:paraId="36B63113" w14:textId="77777777" w:rsidR="005B6202" w:rsidRPr="00562C68" w:rsidRDefault="00B43232">
      <w:pPr>
        <w:pStyle w:val="ListParagraph"/>
        <w:numPr>
          <w:ilvl w:val="1"/>
          <w:numId w:val="2"/>
        </w:numPr>
        <w:spacing w:after="120"/>
      </w:pPr>
      <w:r w:rsidRPr="00562C68">
        <w:t xml:space="preserve">If the grievance concerns the Headteacher the matter should be referred to the Chair of Trustees via the Clerk to the Trust Board in the first instance. </w:t>
      </w:r>
    </w:p>
    <w:p w14:paraId="06857E19" w14:textId="77777777" w:rsidR="005B6202" w:rsidRPr="00562C68" w:rsidRDefault="00B43232">
      <w:pPr>
        <w:pStyle w:val="ListParagraph"/>
        <w:numPr>
          <w:ilvl w:val="1"/>
          <w:numId w:val="2"/>
        </w:numPr>
        <w:spacing w:after="120"/>
      </w:pPr>
      <w:r w:rsidRPr="00562C68">
        <w:rPr>
          <w:color w:val="auto"/>
        </w:rPr>
        <w:t xml:space="preserve">When an employee raises a formal </w:t>
      </w:r>
      <w:proofErr w:type="gramStart"/>
      <w:r w:rsidRPr="00562C68">
        <w:rPr>
          <w:color w:val="auto"/>
        </w:rPr>
        <w:t>grievance</w:t>
      </w:r>
      <w:proofErr w:type="gramEnd"/>
      <w:r w:rsidRPr="00562C68">
        <w:rPr>
          <w:b/>
          <w:bCs/>
          <w:color w:val="auto"/>
        </w:rPr>
        <w:t xml:space="preserve"> </w:t>
      </w:r>
      <w:r w:rsidRPr="00562C68">
        <w:rPr>
          <w:color w:val="auto"/>
        </w:rPr>
        <w:t xml:space="preserve">a meeting will be arranged </w:t>
      </w:r>
      <w:r w:rsidRPr="00562C68">
        <w:rPr>
          <w:color w:val="auto"/>
          <w:u w:color="FF0000"/>
        </w:rPr>
        <w:t>within 10 school days of the grievance being received</w:t>
      </w:r>
      <w:r w:rsidRPr="00562C68">
        <w:rPr>
          <w:color w:val="auto"/>
        </w:rPr>
        <w:t xml:space="preserve">. At the meeting the employee will have the opportunity to explain their grievance and how they think it may be resolved. Depending on the circumstances, the meeting may be adjourned </w:t>
      </w:r>
      <w:proofErr w:type="gramStart"/>
      <w:r w:rsidRPr="00562C68">
        <w:rPr>
          <w:color w:val="auto"/>
        </w:rPr>
        <w:t>in order for</w:t>
      </w:r>
      <w:proofErr w:type="gramEnd"/>
      <w:r w:rsidRPr="00562C68">
        <w:rPr>
          <w:color w:val="auto"/>
        </w:rPr>
        <w:t xml:space="preserve"> an investigation to take place. </w:t>
      </w:r>
      <w:r w:rsidRPr="00562C68">
        <w:rPr>
          <w:color w:val="auto"/>
          <w:u w:color="FF0000"/>
        </w:rPr>
        <w:t xml:space="preserve">The investigation will be undertaken by an independent officer who has no knowledge or connection with the grievance. </w:t>
      </w:r>
      <w:r w:rsidRPr="00562C68">
        <w:t>Where the matter needs to be investigated and/or the meeting adjourned, the employee will be given an indication of the likely timescale for receiving a response.</w:t>
      </w:r>
    </w:p>
    <w:p w14:paraId="4A43308A" w14:textId="77777777" w:rsidR="005B6202" w:rsidRPr="00562C68" w:rsidRDefault="00B43232" w:rsidP="00562C68">
      <w:pPr>
        <w:pStyle w:val="ListParagraph"/>
        <w:numPr>
          <w:ilvl w:val="1"/>
          <w:numId w:val="2"/>
        </w:numPr>
        <w:spacing w:after="120"/>
      </w:pPr>
      <w:r w:rsidRPr="00562C68">
        <w:t xml:space="preserve">At the meeting, the employee may be accompanied by a colleague or trade union representative of their choice. The employee must tell the person holding the grievance meeting who their chosen companion is, in good time before the meeting. At the meeting, a </w:t>
      </w:r>
      <w:r w:rsidRPr="00562C68">
        <w:lastRenderedPageBreak/>
        <w:t xml:space="preserve">companion may make representations and ask questions, but should not answer questions on an employee’s behalf. Acting as a companion is voluntary and colleagues are under no obligation to do so. </w:t>
      </w:r>
    </w:p>
    <w:p w14:paraId="0EAA0576" w14:textId="77777777" w:rsidR="005B6202" w:rsidRPr="00562C68" w:rsidRDefault="00B43232">
      <w:pPr>
        <w:pStyle w:val="ListParagraph"/>
        <w:numPr>
          <w:ilvl w:val="1"/>
          <w:numId w:val="2"/>
        </w:numPr>
        <w:spacing w:after="120"/>
        <w:rPr>
          <w:color w:val="auto"/>
        </w:rPr>
      </w:pPr>
      <w:r w:rsidRPr="00562C68">
        <w:rPr>
          <w:color w:val="auto"/>
          <w:u w:color="FF0000"/>
        </w:rPr>
        <w:t>Legal representation at a formal grievance meeting is not permitted.</w:t>
      </w:r>
    </w:p>
    <w:p w14:paraId="2BA045DA" w14:textId="77777777" w:rsidR="005B6202" w:rsidRPr="00562C68" w:rsidRDefault="00B43232">
      <w:pPr>
        <w:pStyle w:val="ListParagraph"/>
        <w:numPr>
          <w:ilvl w:val="1"/>
          <w:numId w:val="2"/>
        </w:numPr>
        <w:spacing w:after="120"/>
      </w:pPr>
      <w:r w:rsidRPr="00562C68">
        <w:t xml:space="preserve">The employee will be informed in writing of the outcome of the grievance </w:t>
      </w:r>
      <w:r w:rsidRPr="00562C68">
        <w:rPr>
          <w:color w:val="auto"/>
          <w:u w:color="FF0000"/>
        </w:rPr>
        <w:t xml:space="preserve">within 10 school days </w:t>
      </w:r>
      <w:r w:rsidRPr="00562C68">
        <w:t xml:space="preserve">of the meeting and the reasons for the decision. If any action is to be taken </w:t>
      </w:r>
      <w:proofErr w:type="gramStart"/>
      <w:r w:rsidRPr="00562C68">
        <w:t>as a result of</w:t>
      </w:r>
      <w:proofErr w:type="gramEnd"/>
      <w:r w:rsidRPr="00562C68">
        <w:t xml:space="preserve"> the grievance, the employee will, where possible, be informed.</w:t>
      </w:r>
    </w:p>
    <w:p w14:paraId="3EA488B3" w14:textId="77777777" w:rsidR="005B6202" w:rsidRPr="00562C68" w:rsidRDefault="00B43232" w:rsidP="00562C68">
      <w:pPr>
        <w:pStyle w:val="ListParagraph"/>
        <w:numPr>
          <w:ilvl w:val="1"/>
          <w:numId w:val="2"/>
        </w:numPr>
        <w:spacing w:after="240"/>
      </w:pPr>
      <w:r w:rsidRPr="00562C68">
        <w:t>The decision will be issued as soon as possible following the conclusion of the meeting. Where the matter needs to be investigated and/or the meeting adjourned, the employee will be given an indication of the likely timescale for receiving a response.</w:t>
      </w:r>
    </w:p>
    <w:p w14:paraId="491CFFF6" w14:textId="77777777" w:rsidR="005B6202" w:rsidRPr="00562C68" w:rsidRDefault="00B43232">
      <w:pPr>
        <w:pStyle w:val="ListParagraph"/>
        <w:numPr>
          <w:ilvl w:val="0"/>
          <w:numId w:val="2"/>
        </w:numPr>
        <w:spacing w:after="120"/>
        <w:rPr>
          <w:b/>
          <w:bCs/>
        </w:rPr>
      </w:pPr>
      <w:r w:rsidRPr="00562C68">
        <w:rPr>
          <w:b/>
          <w:bCs/>
        </w:rPr>
        <w:t>Appeal</w:t>
      </w:r>
    </w:p>
    <w:p w14:paraId="78945E66" w14:textId="0BB6D6A8" w:rsidR="005B6202" w:rsidRPr="00562C68" w:rsidRDefault="00B43232">
      <w:pPr>
        <w:pStyle w:val="ListParagraph"/>
        <w:numPr>
          <w:ilvl w:val="1"/>
          <w:numId w:val="2"/>
        </w:numPr>
        <w:spacing w:after="120"/>
      </w:pPr>
      <w:r w:rsidRPr="00562C68">
        <w:t>If the employee believes that his or her formal grievance is not satisfactorily resolved, or believes they have been unfairly treated, he or she may, as soon as</w:t>
      </w:r>
      <w:r w:rsidRPr="00562C68">
        <w:rPr>
          <w:color w:val="auto"/>
        </w:rPr>
        <w:t xml:space="preserve"> possible and within </w:t>
      </w:r>
      <w:r w:rsidRPr="00562C68">
        <w:rPr>
          <w:color w:val="auto"/>
          <w:u w:color="FF0000"/>
        </w:rPr>
        <w:t xml:space="preserve">10 school </w:t>
      </w:r>
      <w:r w:rsidRPr="00562C68">
        <w:t xml:space="preserve">days of the written decision, appeal in writing to the Headteacher.  </w:t>
      </w:r>
    </w:p>
    <w:p w14:paraId="6EF66DAE" w14:textId="77777777" w:rsidR="005B6202" w:rsidRPr="00562C68" w:rsidRDefault="00B43232">
      <w:pPr>
        <w:pStyle w:val="ListParagraph"/>
        <w:numPr>
          <w:ilvl w:val="1"/>
          <w:numId w:val="2"/>
        </w:numPr>
        <w:spacing w:after="120"/>
      </w:pPr>
      <w:r w:rsidRPr="00562C68">
        <w:t xml:space="preserve">An appeal hearing will be convened within </w:t>
      </w:r>
      <w:r w:rsidRPr="00562C68">
        <w:rPr>
          <w:color w:val="auto"/>
          <w:u w:color="FF0000"/>
        </w:rPr>
        <w:t>10 school days</w:t>
      </w:r>
      <w:r w:rsidRPr="00562C68">
        <w:t xml:space="preserve">, and will be heard, depending upon all the circumstances, by either the Headteacher, or a panel of up to three Trustees. </w:t>
      </w:r>
    </w:p>
    <w:p w14:paraId="7EDAAB83" w14:textId="77777777" w:rsidR="005B6202" w:rsidRPr="00562C68" w:rsidRDefault="00B43232">
      <w:pPr>
        <w:pStyle w:val="ListParagraph"/>
        <w:numPr>
          <w:ilvl w:val="1"/>
          <w:numId w:val="2"/>
        </w:numPr>
        <w:spacing w:after="120"/>
      </w:pPr>
      <w:r w:rsidRPr="00562C68">
        <w:t>At the appeal hearing, the employee may be accompanied by a colleague or a trade union representative of their choice.</w:t>
      </w:r>
    </w:p>
    <w:p w14:paraId="25F2B1CF" w14:textId="77777777" w:rsidR="005B6202" w:rsidRPr="00562C68" w:rsidRDefault="00B43232">
      <w:pPr>
        <w:pStyle w:val="ListParagraph"/>
        <w:numPr>
          <w:ilvl w:val="1"/>
          <w:numId w:val="2"/>
        </w:numPr>
        <w:spacing w:after="240"/>
      </w:pPr>
      <w:r w:rsidRPr="00562C68">
        <w:t xml:space="preserve">Whenever possible, a decision of the appeal and the reasons for it will be given within </w:t>
      </w:r>
      <w:r w:rsidRPr="00562C68">
        <w:rPr>
          <w:color w:val="auto"/>
          <w:u w:color="FF0000"/>
        </w:rPr>
        <w:t>10 schoo</w:t>
      </w:r>
      <w:r w:rsidRPr="00562C68">
        <w:rPr>
          <w:color w:val="auto"/>
        </w:rPr>
        <w:t xml:space="preserve">l </w:t>
      </w:r>
      <w:r w:rsidRPr="00562C68">
        <w:t>days of the hearing. This decision will be given in writing and will be final.</w:t>
      </w:r>
    </w:p>
    <w:p w14:paraId="6A9C175B" w14:textId="77777777" w:rsidR="005B6202" w:rsidRPr="00562C68" w:rsidRDefault="00B43232">
      <w:pPr>
        <w:pStyle w:val="ListParagraph"/>
        <w:numPr>
          <w:ilvl w:val="0"/>
          <w:numId w:val="2"/>
        </w:numPr>
        <w:spacing w:after="120"/>
        <w:rPr>
          <w:b/>
          <w:bCs/>
        </w:rPr>
      </w:pPr>
      <w:r w:rsidRPr="00562C68">
        <w:rPr>
          <w:b/>
          <w:bCs/>
        </w:rPr>
        <w:t xml:space="preserve">Record-keeping </w:t>
      </w:r>
    </w:p>
    <w:p w14:paraId="0138F101" w14:textId="77777777" w:rsidR="005B6202" w:rsidRPr="00562C68" w:rsidRDefault="00B43232">
      <w:pPr>
        <w:pStyle w:val="ListParagraph"/>
        <w:numPr>
          <w:ilvl w:val="1"/>
          <w:numId w:val="2"/>
        </w:numPr>
        <w:spacing w:after="120"/>
      </w:pPr>
      <w:r w:rsidRPr="00562C68">
        <w:t xml:space="preserve">Written grievances will be placed on an employee’s personnel file along with a record of any decisions taken and any notes or other documents compiled during the grievance process. </w:t>
      </w:r>
    </w:p>
    <w:p w14:paraId="008258E8" w14:textId="00559286" w:rsidR="005B6202" w:rsidRPr="00562C68" w:rsidRDefault="00B43232">
      <w:pPr>
        <w:pStyle w:val="ListParagraph"/>
        <w:numPr>
          <w:ilvl w:val="1"/>
          <w:numId w:val="2"/>
        </w:numPr>
        <w:spacing w:after="120"/>
      </w:pPr>
      <w:r w:rsidRPr="00562C68">
        <w:t xml:space="preserve">These will be retained </w:t>
      </w:r>
      <w:r w:rsidRPr="00562C68">
        <w:rPr>
          <w:color w:val="auto"/>
          <w:u w:color="FF0000"/>
        </w:rPr>
        <w:t>securely</w:t>
      </w:r>
      <w:r w:rsidRPr="00562C68">
        <w:t xml:space="preserve"> in accordance with </w:t>
      </w:r>
      <w:r w:rsidRPr="00562C68">
        <w:rPr>
          <w:color w:val="auto"/>
          <w:u w:color="FF0000"/>
        </w:rPr>
        <w:t xml:space="preserve">data protection </w:t>
      </w:r>
      <w:proofErr w:type="gramStart"/>
      <w:r w:rsidRPr="00562C68">
        <w:rPr>
          <w:color w:val="auto"/>
          <w:u w:color="FF0000"/>
        </w:rPr>
        <w:t>law</w:t>
      </w:r>
      <w:r w:rsidRPr="00562C68">
        <w:t>;</w:t>
      </w:r>
      <w:proofErr w:type="gramEnd"/>
      <w:r w:rsidRPr="00562C68">
        <w:t xml:space="preserve"> the School’s Staff Privacy Notice and Data Retention Policy. </w:t>
      </w:r>
    </w:p>
    <w:sectPr w:rsidR="005B6202" w:rsidRPr="00562C68">
      <w:headerReference w:type="default" r:id="rId8"/>
      <w:footerReference w:type="default" r:id="rId9"/>
      <w:pgSz w:w="11900" w:h="16840"/>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CD13" w14:textId="77777777" w:rsidR="00247271" w:rsidRDefault="00247271">
      <w:r>
        <w:separator/>
      </w:r>
    </w:p>
  </w:endnote>
  <w:endnote w:type="continuationSeparator" w:id="0">
    <w:p w14:paraId="0E5359AA" w14:textId="77777777" w:rsidR="00247271" w:rsidRDefault="0024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1219" w14:textId="77777777" w:rsidR="005B6202" w:rsidRDefault="00B43232">
    <w:pPr>
      <w:pStyle w:val="Footer"/>
      <w:tabs>
        <w:tab w:val="clear" w:pos="9360"/>
        <w:tab w:val="right" w:pos="9000"/>
      </w:tabs>
      <w:jc w:val="right"/>
    </w:pPr>
    <w:r>
      <w:fldChar w:fldCharType="begin"/>
    </w:r>
    <w:r>
      <w:instrText xml:space="preserve"> PAGE </w:instrText>
    </w:r>
    <w:r>
      <w:fldChar w:fldCharType="separate"/>
    </w:r>
    <w:r w:rsidR="008A3EF9">
      <w:rPr>
        <w:noProof/>
      </w:rPr>
      <w:t>1</w:t>
    </w:r>
    <w:r>
      <w:fldChar w:fldCharType="end"/>
    </w:r>
  </w:p>
  <w:p w14:paraId="0BCA404C" w14:textId="77777777" w:rsidR="005B6202" w:rsidRDefault="00B43232">
    <w:pPr>
      <w:pStyle w:val="Footer"/>
      <w:tabs>
        <w:tab w:val="clear" w:pos="9360"/>
        <w:tab w:val="right" w:pos="9000"/>
      </w:tabs>
      <w:ind w:right="360"/>
      <w:rPr>
        <w:rFonts w:ascii="Century Gothic" w:eastAsia="Century Gothic" w:hAnsi="Century Gothic" w:cs="Century Gothic"/>
        <w:sz w:val="16"/>
        <w:szCs w:val="16"/>
      </w:rPr>
    </w:pPr>
    <w:r>
      <w:rPr>
        <w:rFonts w:ascii="Century Gothic" w:hAnsi="Century Gothic"/>
        <w:b/>
        <w:bCs/>
        <w:sz w:val="16"/>
        <w:szCs w:val="16"/>
      </w:rPr>
      <w:t>SAND Academies Trust</w:t>
    </w:r>
  </w:p>
  <w:p w14:paraId="691156B5" w14:textId="77777777" w:rsidR="005B6202" w:rsidRDefault="00B43232">
    <w:pPr>
      <w:pStyle w:val="Footer"/>
      <w:tabs>
        <w:tab w:val="clear" w:pos="9360"/>
        <w:tab w:val="right" w:pos="9000"/>
      </w:tabs>
      <w:rPr>
        <w:rFonts w:ascii="Century Gothic" w:eastAsia="Century Gothic" w:hAnsi="Century Gothic" w:cs="Century Gothic"/>
        <w:sz w:val="14"/>
        <w:szCs w:val="14"/>
      </w:rPr>
    </w:pPr>
    <w:r>
      <w:rPr>
        <w:rFonts w:ascii="Century Gothic" w:hAnsi="Century Gothic"/>
        <w:sz w:val="14"/>
        <w:szCs w:val="14"/>
      </w:rPr>
      <w:t>Lyn Dance CEO &amp; Executive Headteacher</w:t>
    </w:r>
  </w:p>
  <w:p w14:paraId="5938594F" w14:textId="77777777" w:rsidR="005B6202" w:rsidRDefault="00B43232">
    <w:pPr>
      <w:pStyle w:val="Footer"/>
      <w:tabs>
        <w:tab w:val="clear" w:pos="9360"/>
        <w:tab w:val="right" w:pos="9000"/>
      </w:tabs>
      <w:rPr>
        <w:rFonts w:ascii="Century Gothic" w:eastAsia="Century Gothic" w:hAnsi="Century Gothic" w:cs="Century Gothic"/>
        <w:sz w:val="14"/>
        <w:szCs w:val="14"/>
      </w:rPr>
    </w:pPr>
    <w:r>
      <w:rPr>
        <w:rFonts w:ascii="Century Gothic" w:hAnsi="Century Gothic"/>
        <w:sz w:val="14"/>
        <w:szCs w:val="14"/>
      </w:rPr>
      <w:t>Registered in England: Company Number 11968610</w:t>
    </w:r>
  </w:p>
  <w:p w14:paraId="61C719B1" w14:textId="77777777" w:rsidR="005B6202" w:rsidRDefault="00B43232">
    <w:pPr>
      <w:pStyle w:val="Footer"/>
      <w:tabs>
        <w:tab w:val="clear" w:pos="9360"/>
        <w:tab w:val="right" w:pos="9000"/>
      </w:tabs>
    </w:pPr>
    <w:r>
      <w:rPr>
        <w:rFonts w:ascii="Century Gothic" w:hAnsi="Century Gothic"/>
        <w:sz w:val="14"/>
        <w:szCs w:val="14"/>
      </w:rPr>
      <w:t>Registered Office: The Milestone School, Longford Lane, Gloucester, GL2 9EU - Telephone: 01452 874000 – www.sandmat.uk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10E0" w14:textId="77777777" w:rsidR="00247271" w:rsidRDefault="00247271">
      <w:r>
        <w:separator/>
      </w:r>
    </w:p>
  </w:footnote>
  <w:footnote w:type="continuationSeparator" w:id="0">
    <w:p w14:paraId="32B287F7" w14:textId="77777777" w:rsidR="00247271" w:rsidRDefault="0024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CA8" w14:textId="77777777" w:rsidR="005B6202" w:rsidRDefault="005B62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C36"/>
    <w:multiLevelType w:val="multilevel"/>
    <w:tmpl w:val="496C2AB8"/>
    <w:numStyleLink w:val="ImportedStyle1"/>
  </w:abstractNum>
  <w:abstractNum w:abstractNumId="1" w15:restartNumberingAfterBreak="0">
    <w:nsid w:val="10960B4D"/>
    <w:multiLevelType w:val="multilevel"/>
    <w:tmpl w:val="496C2AB8"/>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9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03" w:hanging="7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11" w:hanging="10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15" w:hanging="1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19" w:hanging="13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095" w:hanging="15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54099809">
    <w:abstractNumId w:val="1"/>
  </w:num>
  <w:num w:numId="2" w16cid:durableId="179583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202"/>
    <w:rsid w:val="00235249"/>
    <w:rsid w:val="00247271"/>
    <w:rsid w:val="00562C68"/>
    <w:rsid w:val="005B6202"/>
    <w:rsid w:val="0065685A"/>
    <w:rsid w:val="008A3EF9"/>
    <w:rsid w:val="00B43232"/>
    <w:rsid w:val="00DB57BC"/>
    <w:rsid w:val="00EC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4CA89F"/>
  <w15:docId w15:val="{ECFB037E-4C0F-4A4B-8EF6-2073CE22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Shepherd</cp:lastModifiedBy>
  <cp:revision>5</cp:revision>
  <dcterms:created xsi:type="dcterms:W3CDTF">2021-04-12T14:45:00Z</dcterms:created>
  <dcterms:modified xsi:type="dcterms:W3CDTF">2022-05-20T14:57:00Z</dcterms:modified>
</cp:coreProperties>
</file>